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C60" w:rsidRDefault="00135C60" w:rsidP="00135C60"/>
    <w:tbl>
      <w:tblPr>
        <w:tblW w:w="0" w:type="auto"/>
        <w:tblCellMar>
          <w:left w:w="0" w:type="dxa"/>
          <w:right w:w="0" w:type="dxa"/>
        </w:tblCellMar>
        <w:tblLook w:val="04A0" w:firstRow="1" w:lastRow="0" w:firstColumn="1" w:lastColumn="0" w:noHBand="0" w:noVBand="1"/>
      </w:tblPr>
      <w:tblGrid>
        <w:gridCol w:w="6643"/>
        <w:gridCol w:w="2383"/>
      </w:tblGrid>
      <w:tr w:rsidR="00135C60" w:rsidTr="00135C60">
        <w:tc>
          <w:tcPr>
            <w:tcW w:w="9631" w:type="dxa"/>
            <w:tcMar>
              <w:top w:w="0" w:type="dxa"/>
              <w:left w:w="108" w:type="dxa"/>
              <w:bottom w:w="0" w:type="dxa"/>
              <w:right w:w="108" w:type="dxa"/>
            </w:tcMar>
          </w:tcPr>
          <w:p w:rsidR="00135C60" w:rsidRDefault="00135C60"/>
        </w:tc>
        <w:tc>
          <w:tcPr>
            <w:tcW w:w="2694" w:type="dxa"/>
            <w:tcMar>
              <w:top w:w="0" w:type="dxa"/>
              <w:left w:w="108" w:type="dxa"/>
              <w:bottom w:w="0" w:type="dxa"/>
              <w:right w:w="108" w:type="dxa"/>
            </w:tcMar>
            <w:hideMark/>
          </w:tcPr>
          <w:p w:rsidR="00135C60" w:rsidRDefault="00135C60">
            <w:r>
              <w:rPr>
                <w:noProof/>
              </w:rPr>
              <w:drawing>
                <wp:inline distT="0" distB="0" distL="0" distR="0">
                  <wp:extent cx="952500" cy="838200"/>
                  <wp:effectExtent l="0" t="0" r="0" b="0"/>
                  <wp:docPr id="1" name="Picture 1" descr="cid:image001.jpg@01D63E7E.A8D63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63E7E.A8D633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c>
      </w:tr>
      <w:tr w:rsidR="00135C60" w:rsidTr="00135C60">
        <w:tc>
          <w:tcPr>
            <w:tcW w:w="12325" w:type="dxa"/>
            <w:gridSpan w:val="2"/>
            <w:tcMar>
              <w:top w:w="0" w:type="dxa"/>
              <w:left w:w="108" w:type="dxa"/>
              <w:bottom w:w="0" w:type="dxa"/>
              <w:right w:w="108" w:type="dxa"/>
            </w:tcMar>
          </w:tcPr>
          <w:p w:rsidR="00135C60" w:rsidRDefault="00135C60">
            <w:pPr>
              <w:rPr>
                <w:b/>
                <w:bCs/>
                <w:u w:val="single"/>
              </w:rPr>
            </w:pPr>
            <w:bookmarkStart w:id="0" w:name="_Hlk39160887"/>
            <w:r>
              <w:rPr>
                <w:b/>
                <w:bCs/>
                <w:u w:val="single"/>
              </w:rPr>
              <w:t>Vacenti Update on Coronavirus - COVID-19 - Update no 14</w:t>
            </w:r>
          </w:p>
          <w:p w:rsidR="00135C60" w:rsidRDefault="00135C60">
            <w:pPr>
              <w:rPr>
                <w:b/>
                <w:bCs/>
                <w:u w:val="single"/>
              </w:rPr>
            </w:pPr>
            <w:r>
              <w:rPr>
                <w:b/>
                <w:bCs/>
                <w:u w:val="single"/>
              </w:rPr>
              <w:t>“Black Lives Matter“ Protest Rally</w:t>
            </w:r>
            <w:bookmarkEnd w:id="0"/>
          </w:p>
          <w:p w:rsidR="00135C60" w:rsidRDefault="00135C60"/>
          <w:p w:rsidR="00135C60" w:rsidRDefault="00135C60">
            <w:pPr>
              <w:spacing w:before="120"/>
            </w:pPr>
            <w:bookmarkStart w:id="1" w:name="_GoBack"/>
            <w:bookmarkEnd w:id="1"/>
            <w:r>
              <w:t>Last weekend, Saturday 6</w:t>
            </w:r>
            <w:r>
              <w:rPr>
                <w:vertAlign w:val="superscript"/>
              </w:rPr>
              <w:t>th</w:t>
            </w:r>
            <w:r>
              <w:t xml:space="preserve"> June, the “Black Lives Matter” protest rally/s took place in Brisbane. </w:t>
            </w:r>
          </w:p>
          <w:p w:rsidR="00135C60" w:rsidRDefault="00135C60">
            <w:pPr>
              <w:spacing w:before="120"/>
            </w:pPr>
            <w:r>
              <w:t>Vacenti respects every person’s right to protest, however, we know that social distancing during the protest march was not always possible. If:</w:t>
            </w:r>
          </w:p>
          <w:p w:rsidR="00135C60" w:rsidRDefault="00135C60" w:rsidP="00322A1F">
            <w:pPr>
              <w:pStyle w:val="ListParagraph"/>
              <w:numPr>
                <w:ilvl w:val="0"/>
                <w:numId w:val="1"/>
              </w:numPr>
              <w:spacing w:before="120"/>
            </w:pPr>
            <w:r>
              <w:t xml:space="preserve">you, or </w:t>
            </w:r>
          </w:p>
          <w:p w:rsidR="00135C60" w:rsidRDefault="00135C60" w:rsidP="00322A1F">
            <w:pPr>
              <w:pStyle w:val="ListParagraph"/>
              <w:numPr>
                <w:ilvl w:val="0"/>
                <w:numId w:val="1"/>
              </w:numPr>
              <w:spacing w:before="120"/>
            </w:pPr>
            <w:r>
              <w:t>any person you are in close contact with, or</w:t>
            </w:r>
          </w:p>
          <w:p w:rsidR="00135C60" w:rsidRDefault="00135C60" w:rsidP="00322A1F">
            <w:pPr>
              <w:pStyle w:val="ListParagraph"/>
              <w:numPr>
                <w:ilvl w:val="0"/>
                <w:numId w:val="1"/>
              </w:numPr>
              <w:spacing w:before="120"/>
            </w:pPr>
            <w:r>
              <w:t>any person you know who may visit a residential aged care facility</w:t>
            </w:r>
          </w:p>
          <w:p w:rsidR="00135C60" w:rsidRDefault="00135C60">
            <w:pPr>
              <w:spacing w:before="120"/>
            </w:pPr>
            <w:r>
              <w:t>attended the rally, we are strongly advising that you refrain from visiting our homes until Monday 15</w:t>
            </w:r>
            <w:r>
              <w:rPr>
                <w:vertAlign w:val="superscript"/>
              </w:rPr>
              <w:t>th</w:t>
            </w:r>
            <w:r>
              <w:t xml:space="preserve"> June. If you still need to visit we are requesting you contact the Facility Manager before coming on site so that appropriate screening can be undertaken and arrangements made. Please do not visit our homes if you have any symptoms of fever, cough, runny nose, sore throat or breathing difficulties.</w:t>
            </w:r>
          </w:p>
          <w:p w:rsidR="00135C60" w:rsidRDefault="00135C60"/>
          <w:p w:rsidR="00135C60" w:rsidRDefault="00135C60">
            <w:pPr>
              <w:rPr>
                <w:b/>
                <w:bCs/>
                <w:u w:val="single"/>
              </w:rPr>
            </w:pPr>
            <w:r>
              <w:rPr>
                <w:b/>
                <w:bCs/>
                <w:u w:val="single"/>
              </w:rPr>
              <w:t>Qld Chief Health Officer – Aged Care Direction No 5</w:t>
            </w:r>
          </w:p>
          <w:p w:rsidR="00135C60" w:rsidRDefault="00135C60">
            <w:pPr>
              <w:spacing w:before="120"/>
            </w:pPr>
            <w:r>
              <w:t>On the 2</w:t>
            </w:r>
            <w:r>
              <w:rPr>
                <w:vertAlign w:val="superscript"/>
              </w:rPr>
              <w:t>nd</w:t>
            </w:r>
            <w:r>
              <w:t xml:space="preserve"> June, the Qld Chief Health Officer (CHO) issued </w:t>
            </w:r>
            <w:hyperlink r:id="rId7" w:history="1">
              <w:r>
                <w:rPr>
                  <w:rStyle w:val="Hyperlink"/>
                </w:rPr>
                <w:t>Aged Care Direction No 5</w:t>
              </w:r>
            </w:hyperlink>
            <w:r>
              <w:t xml:space="preserve">. As you are aware, Vacenti is bound by these regulations. Effectively there is no real change from Aged Care Direction No 4. </w:t>
            </w:r>
          </w:p>
          <w:p w:rsidR="00135C60" w:rsidRDefault="00135C60">
            <w:pPr>
              <w:spacing w:before="120"/>
            </w:pPr>
          </w:p>
        </w:tc>
      </w:tr>
    </w:tbl>
    <w:p w:rsidR="00796868" w:rsidRDefault="00796868"/>
    <w:sectPr w:rsidR="00796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3E0F"/>
    <w:multiLevelType w:val="hybridMultilevel"/>
    <w:tmpl w:val="0B58757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60"/>
    <w:rsid w:val="00135C60"/>
    <w:rsid w:val="00796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EBB4"/>
  <w15:chartTrackingRefBased/>
  <w15:docId w15:val="{487450B5-AFAA-4B44-8336-58D4371A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C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C60"/>
    <w:rPr>
      <w:color w:val="0000FF"/>
      <w:u w:val="single"/>
    </w:rPr>
  </w:style>
  <w:style w:type="paragraph" w:styleId="ListParagraph">
    <w:name w:val="List Paragraph"/>
    <w:basedOn w:val="Normal"/>
    <w:uiPriority w:val="34"/>
    <w:qFormat/>
    <w:rsid w:val="00135C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12676">
      <w:bodyDiv w:val="1"/>
      <w:marLeft w:val="0"/>
      <w:marRight w:val="0"/>
      <w:marTop w:val="0"/>
      <w:marBottom w:val="0"/>
      <w:divBdr>
        <w:top w:val="none" w:sz="0" w:space="0" w:color="auto"/>
        <w:left w:val="none" w:sz="0" w:space="0" w:color="auto"/>
        <w:bottom w:val="none" w:sz="0" w:space="0" w:color="auto"/>
        <w:right w:val="none" w:sz="0" w:space="0" w:color="auto"/>
      </w:divBdr>
    </w:div>
    <w:div w:id="11655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qld.gov.au/system-governance/legislation/cho-public-health-directions-under-expanded-public-health-act-powers/age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3E7E.A8D633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Vacenti Digital Marketing</dc:creator>
  <cp:keywords/>
  <dc:description/>
  <cp:lastModifiedBy>Vacenti Digital Marketing</cp:lastModifiedBy>
  <cp:revision>1</cp:revision>
  <dcterms:created xsi:type="dcterms:W3CDTF">2020-06-10T00:51:00Z</dcterms:created>
  <dcterms:modified xsi:type="dcterms:W3CDTF">2020-06-10T00:52:00Z</dcterms:modified>
</cp:coreProperties>
</file>