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750"/>
        <w:gridCol w:w="2492"/>
      </w:tblGrid>
      <w:tr w:rsidR="00DF71EC" w:rsidTr="00DF71EC">
        <w:tc>
          <w:tcPr>
            <w:tcW w:w="9631" w:type="dxa"/>
            <w:tcMar>
              <w:top w:w="0" w:type="dxa"/>
              <w:left w:w="108" w:type="dxa"/>
              <w:bottom w:w="0" w:type="dxa"/>
              <w:right w:w="108" w:type="dxa"/>
            </w:tcMar>
          </w:tcPr>
          <w:p w:rsidR="00DF71EC" w:rsidRDefault="00DF71EC"/>
        </w:tc>
        <w:tc>
          <w:tcPr>
            <w:tcW w:w="2694" w:type="dxa"/>
            <w:tcMar>
              <w:top w:w="0" w:type="dxa"/>
              <w:left w:w="108" w:type="dxa"/>
              <w:bottom w:w="0" w:type="dxa"/>
              <w:right w:w="108" w:type="dxa"/>
            </w:tcMar>
            <w:hideMark/>
          </w:tcPr>
          <w:p w:rsidR="00DF71EC" w:rsidRDefault="00DF71EC">
            <w:r>
              <w:rPr>
                <w:noProof/>
                <w:lang w:eastAsia="en-AU"/>
              </w:rPr>
              <w:drawing>
                <wp:inline distT="0" distB="0" distL="0" distR="0">
                  <wp:extent cx="952500" cy="838200"/>
                  <wp:effectExtent l="0" t="0" r="0" b="0"/>
                  <wp:docPr id="2" name="Picture 2" descr="cid:image001.jpg@01D61CC4.40CF8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61CC4.40CF8D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c>
      </w:tr>
      <w:tr w:rsidR="00DF71EC" w:rsidTr="00DF71EC">
        <w:tc>
          <w:tcPr>
            <w:tcW w:w="12325" w:type="dxa"/>
            <w:gridSpan w:val="2"/>
            <w:tcMar>
              <w:top w:w="0" w:type="dxa"/>
              <w:left w:w="108" w:type="dxa"/>
              <w:bottom w:w="0" w:type="dxa"/>
              <w:right w:w="108" w:type="dxa"/>
            </w:tcMar>
          </w:tcPr>
          <w:p w:rsidR="00DF71EC" w:rsidRDefault="00DF71EC">
            <w:pPr>
              <w:rPr>
                <w:b/>
                <w:bCs/>
                <w:u w:val="single"/>
              </w:rPr>
            </w:pPr>
            <w:r>
              <w:rPr>
                <w:b/>
                <w:bCs/>
                <w:u w:val="single"/>
              </w:rPr>
              <w:t>Vacenti Update on Coronavirus - COVID-19 - Update no 10</w:t>
            </w:r>
          </w:p>
          <w:p w:rsidR="00DF71EC" w:rsidRDefault="00DF71EC">
            <w:pPr>
              <w:rPr>
                <w:b/>
                <w:bCs/>
                <w:u w:val="single"/>
              </w:rPr>
            </w:pPr>
            <w:r>
              <w:rPr>
                <w:b/>
                <w:bCs/>
                <w:u w:val="single"/>
              </w:rPr>
              <w:t>Information as at 27</w:t>
            </w:r>
            <w:r>
              <w:rPr>
                <w:b/>
                <w:bCs/>
                <w:u w:val="single"/>
                <w:vertAlign w:val="superscript"/>
              </w:rPr>
              <w:t>th</w:t>
            </w:r>
            <w:r>
              <w:rPr>
                <w:b/>
                <w:bCs/>
                <w:u w:val="single"/>
              </w:rPr>
              <w:t xml:space="preserve"> April, 2020</w:t>
            </w:r>
          </w:p>
          <w:p w:rsidR="00DF71EC" w:rsidRDefault="00DF71EC"/>
          <w:p w:rsidR="00DF71EC" w:rsidRDefault="00DF71EC">
            <w:r>
              <w:t>Thank you very much to you, your family and loved ones, for your patience in cooperating with our current restrictions and also for reading, and passing on these rather lengthy emails. Hopefully, with the positive signs shown across the country you may not have to read many more.</w:t>
            </w:r>
          </w:p>
          <w:p w:rsidR="00DF71EC" w:rsidRDefault="00DF71EC"/>
          <w:p w:rsidR="00DF71EC" w:rsidRDefault="00DF71EC">
            <w:pPr>
              <w:rPr>
                <w:b/>
                <w:bCs/>
                <w:u w:val="single"/>
              </w:rPr>
            </w:pPr>
            <w:r>
              <w:rPr>
                <w:b/>
                <w:bCs/>
                <w:u w:val="single"/>
              </w:rPr>
              <w:t>Influenza Vaccination Requirements</w:t>
            </w:r>
          </w:p>
          <w:p w:rsidR="00DF71EC" w:rsidRDefault="00DF71EC">
            <w:pPr>
              <w:spacing w:before="120"/>
            </w:pPr>
            <w:r>
              <w:t>As initially advised in our update No 6 (27</w:t>
            </w:r>
            <w:r>
              <w:rPr>
                <w:vertAlign w:val="superscript"/>
              </w:rPr>
              <w:t>th</w:t>
            </w:r>
            <w:r>
              <w:t xml:space="preserve"> March) the Australian Government and Queensland Health require all visitors to aged care have an influenza vaccination by the 1</w:t>
            </w:r>
            <w:r>
              <w:rPr>
                <w:vertAlign w:val="superscript"/>
              </w:rPr>
              <w:t>st</w:t>
            </w:r>
            <w:r>
              <w:t xml:space="preserve"> May, </w:t>
            </w:r>
            <w:r>
              <w:rPr>
                <w:u w:val="single"/>
              </w:rPr>
              <w:t>which is this Friday</w:t>
            </w:r>
            <w:r>
              <w:t>. This includes all resident’s family and friends. Extracts of that advice are:</w:t>
            </w:r>
          </w:p>
          <w:p w:rsidR="00DF71EC" w:rsidRDefault="00DF71EC">
            <w:pPr>
              <w:spacing w:before="120"/>
              <w:rPr>
                <w:rFonts w:ascii="Arial" w:hAnsi="Arial" w:cs="Arial"/>
                <w:i/>
                <w:iCs/>
                <w:sz w:val="20"/>
                <w:szCs w:val="20"/>
              </w:rPr>
            </w:pPr>
            <w:r>
              <w:rPr>
                <w:rFonts w:ascii="Arial" w:hAnsi="Arial" w:cs="Arial"/>
                <w:i/>
                <w:iCs/>
                <w:sz w:val="20"/>
                <w:szCs w:val="20"/>
              </w:rPr>
              <w:t>“Specifically, the requirements set out that individuals must not enter or remain on the premises of a residential aged care facility if the person does not have an up-to-date (i.e. 2020) vaccination against influenza, if such a vaccination is available to the person.”</w:t>
            </w:r>
          </w:p>
          <w:p w:rsidR="00DF71EC" w:rsidRDefault="00DF71EC"/>
          <w:p w:rsidR="00DF71EC" w:rsidRDefault="00DF71EC">
            <w:r>
              <w:t>The current specific links relating to that advice are:</w:t>
            </w:r>
          </w:p>
          <w:p w:rsidR="00DF71EC" w:rsidRDefault="00DF71EC">
            <w:hyperlink r:id="rId7" w:history="1">
              <w:r>
                <w:rPr>
                  <w:rStyle w:val="Hyperlink"/>
                </w:rPr>
                <w:t>Coronavirus (COVID-19) – Restrictions on entry into and visitors to aged care facilities</w:t>
              </w:r>
            </w:hyperlink>
            <w:r>
              <w:t xml:space="preserve"> (16</w:t>
            </w:r>
            <w:r>
              <w:rPr>
                <w:vertAlign w:val="superscript"/>
              </w:rPr>
              <w:t>th</w:t>
            </w:r>
            <w:r>
              <w:t xml:space="preserve"> April)</w:t>
            </w:r>
          </w:p>
          <w:p w:rsidR="00DF71EC" w:rsidRDefault="00DF71EC">
            <w:hyperlink r:id="rId8" w:history="1">
              <w:r>
                <w:rPr>
                  <w:rStyle w:val="Hyperlink"/>
                </w:rPr>
                <w:t>Qld Chief Health Officer public health directions - Aged Care Direction</w:t>
              </w:r>
            </w:hyperlink>
            <w:r>
              <w:t xml:space="preserve"> (updated 17</w:t>
            </w:r>
            <w:r>
              <w:rPr>
                <w:vertAlign w:val="superscript"/>
              </w:rPr>
              <w:t>th</w:t>
            </w:r>
            <w:r>
              <w:t xml:space="preserve"> April)</w:t>
            </w:r>
          </w:p>
          <w:p w:rsidR="00DF71EC" w:rsidRDefault="00DF71EC"/>
          <w:p w:rsidR="00DF71EC" w:rsidRDefault="00DF71EC">
            <w:pPr>
              <w:rPr>
                <w:rStyle w:val="Emphasis"/>
                <w:rFonts w:ascii="Verdana" w:hAnsi="Verdana"/>
                <w:i w:val="0"/>
                <w:iCs w:val="0"/>
                <w:color w:val="000000"/>
                <w:sz w:val="19"/>
                <w:szCs w:val="19"/>
                <w:shd w:val="clear" w:color="auto" w:fill="FFFFFF"/>
              </w:rPr>
            </w:pPr>
            <w:r>
              <w:t>The only exception now allowed is where the vaccine is “unavailable” and the example cited “</w:t>
            </w:r>
            <w:r>
              <w:rPr>
                <w:rStyle w:val="Emphasis"/>
                <w:rFonts w:ascii="Verdana" w:hAnsi="Verdana"/>
                <w:color w:val="000000"/>
                <w:sz w:val="19"/>
                <w:szCs w:val="19"/>
                <w:shd w:val="clear" w:color="auto" w:fill="FFFFFF"/>
              </w:rPr>
              <w:t xml:space="preserve">the vaccination is not available to a person with a medical contraindication to the influenza vaccine”, </w:t>
            </w:r>
            <w:r>
              <w:rPr>
                <w:rStyle w:val="Emphasis"/>
                <w:rFonts w:ascii="Verdana" w:hAnsi="Verdana"/>
                <w:i w:val="0"/>
                <w:iCs w:val="0"/>
                <w:color w:val="000000"/>
                <w:sz w:val="19"/>
                <w:szCs w:val="19"/>
                <w:shd w:val="clear" w:color="auto" w:fill="FFFFFF"/>
              </w:rPr>
              <w:t xml:space="preserve">i.e. in the case of anaphylaxis. Thank you to all those who have provided their current year vaccination status to our Admin staff. They are busy entering those details into our new electronic sign-in register so you shouldn’t have any sign-in issues this Friday. </w:t>
            </w:r>
          </w:p>
          <w:p w:rsidR="00DF71EC" w:rsidRDefault="00DF71EC"/>
          <w:p w:rsidR="00DF71EC" w:rsidRDefault="00DF71EC">
            <w:r>
              <w:t xml:space="preserve">If you have not provided your 2020 Influenza Vaccination certificate by Friday, then our electronic sign-in will </w:t>
            </w:r>
            <w:proofErr w:type="spellStart"/>
            <w:r>
              <w:t>will</w:t>
            </w:r>
            <w:proofErr w:type="spellEnd"/>
            <w:r>
              <w:t xml:space="preserve"> not allow you to sign-in. Acceptable records are anything that clearly has your name and date of flu vaccination. Guidance is also provided in the Government links above. Please see our Admin staff personally with your record, or email them with a scanned copy of the Vaccination Certificate, your email address and mobile phone number. We must see the actual record. Email addresses are:</w:t>
            </w:r>
          </w:p>
          <w:p w:rsidR="00DF71EC" w:rsidRDefault="00DF71EC"/>
          <w:tbl>
            <w:tblPr>
              <w:tblW w:w="0" w:type="auto"/>
              <w:jc w:val="center"/>
              <w:tblCellMar>
                <w:left w:w="0" w:type="dxa"/>
                <w:right w:w="0" w:type="dxa"/>
              </w:tblCellMar>
              <w:tblLook w:val="04A0" w:firstRow="1" w:lastRow="0" w:firstColumn="1" w:lastColumn="0" w:noHBand="0" w:noVBand="1"/>
            </w:tblPr>
            <w:tblGrid>
              <w:gridCol w:w="3005"/>
              <w:gridCol w:w="3006"/>
            </w:tblGrid>
            <w:tr w:rsidR="00DF71EC">
              <w:trPr>
                <w:jc w:val="center"/>
              </w:trPr>
              <w:tc>
                <w:tcPr>
                  <w:tcW w:w="3005"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hideMark/>
                </w:tcPr>
                <w:p w:rsidR="00DF71EC" w:rsidRDefault="00DF71EC">
                  <w:pPr>
                    <w:overflowPunct w:val="0"/>
                    <w:autoSpaceDE w:val="0"/>
                    <w:autoSpaceDN w:val="0"/>
                    <w:jc w:val="center"/>
                    <w:textAlignment w:val="baseline"/>
                    <w:rPr>
                      <w:b/>
                      <w:bCs/>
                      <w:color w:val="000000"/>
                    </w:rPr>
                  </w:pPr>
                  <w:r>
                    <w:rPr>
                      <w:b/>
                      <w:bCs/>
                      <w:color w:val="000000"/>
                    </w:rPr>
                    <w:t>Home</w:t>
                  </w:r>
                </w:p>
              </w:tc>
              <w:tc>
                <w:tcPr>
                  <w:tcW w:w="3006" w:type="dxa"/>
                  <w:tcBorders>
                    <w:top w:val="single" w:sz="8" w:space="0" w:color="auto"/>
                    <w:left w:val="nil"/>
                    <w:bottom w:val="single" w:sz="8" w:space="0" w:color="auto"/>
                    <w:right w:val="single" w:sz="8" w:space="0" w:color="auto"/>
                  </w:tcBorders>
                  <w:tcMar>
                    <w:top w:w="85" w:type="dxa"/>
                    <w:left w:w="108" w:type="dxa"/>
                    <w:bottom w:w="85" w:type="dxa"/>
                    <w:right w:w="108" w:type="dxa"/>
                  </w:tcMar>
                  <w:hideMark/>
                </w:tcPr>
                <w:p w:rsidR="00DF71EC" w:rsidRDefault="00DF71EC">
                  <w:pPr>
                    <w:overflowPunct w:val="0"/>
                    <w:autoSpaceDE w:val="0"/>
                    <w:autoSpaceDN w:val="0"/>
                    <w:jc w:val="center"/>
                    <w:textAlignment w:val="baseline"/>
                    <w:rPr>
                      <w:b/>
                      <w:bCs/>
                      <w:color w:val="000000"/>
                    </w:rPr>
                  </w:pPr>
                  <w:r>
                    <w:rPr>
                      <w:b/>
                      <w:bCs/>
                      <w:color w:val="000000"/>
                    </w:rPr>
                    <w:t>Admin Email address</w:t>
                  </w:r>
                </w:p>
              </w:tc>
            </w:tr>
            <w:tr w:rsidR="00DF71EC">
              <w:trPr>
                <w:jc w:val="center"/>
              </w:trPr>
              <w:tc>
                <w:tcPr>
                  <w:tcW w:w="3005"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DF71EC" w:rsidRDefault="00DF71EC">
                  <w:pPr>
                    <w:rPr>
                      <w:u w:val="single"/>
                    </w:rPr>
                  </w:pPr>
                  <w:r>
                    <w:rPr>
                      <w:u w:val="single"/>
                    </w:rPr>
                    <w:t>Portofino Hamilton</w:t>
                  </w:r>
                </w:p>
              </w:tc>
              <w:tc>
                <w:tcPr>
                  <w:tcW w:w="3006" w:type="dxa"/>
                  <w:tcBorders>
                    <w:top w:val="nil"/>
                    <w:left w:val="nil"/>
                    <w:bottom w:val="single" w:sz="8" w:space="0" w:color="auto"/>
                    <w:right w:val="single" w:sz="8" w:space="0" w:color="auto"/>
                  </w:tcBorders>
                  <w:tcMar>
                    <w:top w:w="85" w:type="dxa"/>
                    <w:left w:w="108" w:type="dxa"/>
                    <w:bottom w:w="85" w:type="dxa"/>
                    <w:right w:w="108" w:type="dxa"/>
                  </w:tcMar>
                  <w:hideMark/>
                </w:tcPr>
                <w:p w:rsidR="00DF71EC" w:rsidRDefault="00DF71EC">
                  <w:hyperlink r:id="rId9" w:history="1">
                    <w:r>
                      <w:rPr>
                        <w:rStyle w:val="Hyperlink"/>
                      </w:rPr>
                      <w:t>Admin.PH@vacenti.com.au</w:t>
                    </w:r>
                  </w:hyperlink>
                  <w:r>
                    <w:t xml:space="preserve"> </w:t>
                  </w:r>
                </w:p>
              </w:tc>
            </w:tr>
            <w:tr w:rsidR="00DF71EC">
              <w:trPr>
                <w:jc w:val="center"/>
              </w:trPr>
              <w:tc>
                <w:tcPr>
                  <w:tcW w:w="3005"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DF71EC" w:rsidRDefault="00DF71EC">
                  <w:pPr>
                    <w:rPr>
                      <w:u w:val="single"/>
                    </w:rPr>
                  </w:pPr>
                  <w:r>
                    <w:rPr>
                      <w:u w:val="single"/>
                    </w:rPr>
                    <w:t>Casa D'amore</w:t>
                  </w:r>
                </w:p>
              </w:tc>
              <w:tc>
                <w:tcPr>
                  <w:tcW w:w="3006" w:type="dxa"/>
                  <w:tcBorders>
                    <w:top w:val="nil"/>
                    <w:left w:val="nil"/>
                    <w:bottom w:val="single" w:sz="8" w:space="0" w:color="auto"/>
                    <w:right w:val="single" w:sz="8" w:space="0" w:color="auto"/>
                  </w:tcBorders>
                  <w:tcMar>
                    <w:top w:w="85" w:type="dxa"/>
                    <w:left w:w="108" w:type="dxa"/>
                    <w:bottom w:w="85" w:type="dxa"/>
                    <w:right w:w="108" w:type="dxa"/>
                  </w:tcMar>
                  <w:hideMark/>
                </w:tcPr>
                <w:p w:rsidR="00DF71EC" w:rsidRDefault="00DF71EC">
                  <w:hyperlink r:id="rId10" w:history="1">
                    <w:r>
                      <w:rPr>
                        <w:rStyle w:val="Hyperlink"/>
                      </w:rPr>
                      <w:t>Admin.CD@vacenti.com.au</w:t>
                    </w:r>
                  </w:hyperlink>
                  <w:r>
                    <w:t xml:space="preserve"> </w:t>
                  </w:r>
                </w:p>
              </w:tc>
            </w:tr>
            <w:tr w:rsidR="00DF71EC">
              <w:trPr>
                <w:jc w:val="center"/>
              </w:trPr>
              <w:tc>
                <w:tcPr>
                  <w:tcW w:w="3005"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DF71EC" w:rsidRDefault="00DF71EC">
                  <w:pPr>
                    <w:rPr>
                      <w:u w:val="single"/>
                    </w:rPr>
                  </w:pPr>
                  <w:r>
                    <w:rPr>
                      <w:u w:val="single"/>
                    </w:rPr>
                    <w:t>Marebello</w:t>
                  </w:r>
                </w:p>
              </w:tc>
              <w:tc>
                <w:tcPr>
                  <w:tcW w:w="3006" w:type="dxa"/>
                  <w:tcBorders>
                    <w:top w:val="nil"/>
                    <w:left w:val="nil"/>
                    <w:bottom w:val="single" w:sz="8" w:space="0" w:color="auto"/>
                    <w:right w:val="single" w:sz="8" w:space="0" w:color="auto"/>
                  </w:tcBorders>
                  <w:tcMar>
                    <w:top w:w="85" w:type="dxa"/>
                    <w:left w:w="108" w:type="dxa"/>
                    <w:bottom w:w="85" w:type="dxa"/>
                    <w:right w:w="108" w:type="dxa"/>
                  </w:tcMar>
                  <w:hideMark/>
                </w:tcPr>
                <w:p w:rsidR="00DF71EC" w:rsidRDefault="00DF71EC">
                  <w:hyperlink r:id="rId11" w:history="1">
                    <w:r>
                      <w:rPr>
                        <w:rStyle w:val="Hyperlink"/>
                      </w:rPr>
                      <w:t>Admin.MB@vacenti.com.au</w:t>
                    </w:r>
                  </w:hyperlink>
                  <w:r>
                    <w:t xml:space="preserve"> </w:t>
                  </w:r>
                </w:p>
              </w:tc>
            </w:tr>
            <w:tr w:rsidR="00DF71EC">
              <w:trPr>
                <w:jc w:val="center"/>
              </w:trPr>
              <w:tc>
                <w:tcPr>
                  <w:tcW w:w="3005"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DF71EC" w:rsidRDefault="00DF71EC">
                  <w:pPr>
                    <w:rPr>
                      <w:u w:val="single"/>
                    </w:rPr>
                  </w:pPr>
                  <w:r>
                    <w:rPr>
                      <w:u w:val="single"/>
                    </w:rPr>
                    <w:t>Lorocco</w:t>
                  </w:r>
                </w:p>
              </w:tc>
              <w:tc>
                <w:tcPr>
                  <w:tcW w:w="3006" w:type="dxa"/>
                  <w:tcBorders>
                    <w:top w:val="nil"/>
                    <w:left w:val="nil"/>
                    <w:bottom w:val="single" w:sz="8" w:space="0" w:color="auto"/>
                    <w:right w:val="single" w:sz="8" w:space="0" w:color="auto"/>
                  </w:tcBorders>
                  <w:tcMar>
                    <w:top w:w="85" w:type="dxa"/>
                    <w:left w:w="108" w:type="dxa"/>
                    <w:bottom w:w="85" w:type="dxa"/>
                    <w:right w:w="108" w:type="dxa"/>
                  </w:tcMar>
                  <w:hideMark/>
                </w:tcPr>
                <w:p w:rsidR="00DF71EC" w:rsidRDefault="00DF71EC">
                  <w:hyperlink r:id="rId12" w:history="1">
                    <w:r>
                      <w:rPr>
                        <w:rStyle w:val="Hyperlink"/>
                      </w:rPr>
                      <w:t>Admin.LO@vacenti.com.au</w:t>
                    </w:r>
                  </w:hyperlink>
                  <w:r>
                    <w:t xml:space="preserve"> </w:t>
                  </w:r>
                </w:p>
              </w:tc>
            </w:tr>
            <w:tr w:rsidR="00DF71EC">
              <w:trPr>
                <w:jc w:val="center"/>
              </w:trPr>
              <w:tc>
                <w:tcPr>
                  <w:tcW w:w="3005"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DF71EC" w:rsidRDefault="00DF71EC">
                  <w:pPr>
                    <w:rPr>
                      <w:u w:val="single"/>
                    </w:rPr>
                  </w:pPr>
                  <w:r>
                    <w:rPr>
                      <w:u w:val="single"/>
                    </w:rPr>
                    <w:t>Esida and Esida Lodge</w:t>
                  </w:r>
                </w:p>
              </w:tc>
              <w:tc>
                <w:tcPr>
                  <w:tcW w:w="3006" w:type="dxa"/>
                  <w:tcBorders>
                    <w:top w:val="nil"/>
                    <w:left w:val="nil"/>
                    <w:bottom w:val="single" w:sz="8" w:space="0" w:color="auto"/>
                    <w:right w:val="single" w:sz="8" w:space="0" w:color="auto"/>
                  </w:tcBorders>
                  <w:tcMar>
                    <w:top w:w="85" w:type="dxa"/>
                    <w:left w:w="108" w:type="dxa"/>
                    <w:bottom w:w="85" w:type="dxa"/>
                    <w:right w:w="108" w:type="dxa"/>
                  </w:tcMar>
                  <w:hideMark/>
                </w:tcPr>
                <w:p w:rsidR="00DF71EC" w:rsidRDefault="00DF71EC">
                  <w:hyperlink r:id="rId13" w:history="1">
                    <w:r>
                      <w:rPr>
                        <w:rStyle w:val="Hyperlink"/>
                      </w:rPr>
                      <w:t>Admin.ES@vacenti.com.au</w:t>
                    </w:r>
                  </w:hyperlink>
                  <w:r>
                    <w:t xml:space="preserve"> </w:t>
                  </w:r>
                </w:p>
              </w:tc>
            </w:tr>
          </w:tbl>
          <w:p w:rsidR="00DF71EC" w:rsidRDefault="00DF71EC"/>
          <w:p w:rsidR="00DF71EC" w:rsidRDefault="00DF71EC">
            <w:r>
              <w:t>We have received a number of questions and comments about influenza vaccination requirements by 1</w:t>
            </w:r>
            <w:r>
              <w:rPr>
                <w:vertAlign w:val="superscript"/>
              </w:rPr>
              <w:t>st</w:t>
            </w:r>
            <w:r>
              <w:t xml:space="preserve"> May. I would like to cover three primary scenarios.</w:t>
            </w:r>
          </w:p>
          <w:p w:rsidR="00DF71EC" w:rsidRDefault="00DF71EC">
            <w:pPr>
              <w:pStyle w:val="ListParagraph"/>
              <w:spacing w:before="120"/>
              <w:ind w:hanging="360"/>
              <w:rPr>
                <w:b/>
                <w:bCs/>
                <w:u w:val="single"/>
              </w:rPr>
            </w:pPr>
            <w:r>
              <w:rPr>
                <w:b/>
                <w:bCs/>
              </w:rPr>
              <w:t>1)</w:t>
            </w:r>
            <w:r>
              <w:rPr>
                <w:rFonts w:ascii="Times New Roman" w:hAnsi="Times New Roman"/>
                <w:b/>
                <w:bCs/>
                <w:sz w:val="14"/>
                <w:szCs w:val="14"/>
              </w:rPr>
              <w:t xml:space="preserve">     </w:t>
            </w:r>
            <w:r>
              <w:rPr>
                <w:b/>
                <w:bCs/>
                <w:u w:val="single"/>
              </w:rPr>
              <w:t>I get an allergic reaction to the flu vaccine and can’t have it</w:t>
            </w:r>
          </w:p>
          <w:p w:rsidR="00DF71EC" w:rsidRDefault="00DF71EC">
            <w:pPr>
              <w:pStyle w:val="ListParagraph"/>
              <w:spacing w:before="120"/>
            </w:pPr>
            <w:r>
              <w:lastRenderedPageBreak/>
              <w:t>Under the Qld Chief Health Officer declarations, you do not have to have the influenza vaccination if it is “unavailable” to you i.e. you get a medical contraindication or reaction to it. Please provide a GP’s certificate or record that you cannot have the flu vaccine and we will enter that into our records. You will be allowed to visit your loved one but there may be ongoing visiting restrictions for you such as short stay, not in communal areas, etc. even when the current visiting restrictions are lifted.</w:t>
            </w:r>
          </w:p>
          <w:p w:rsidR="00DF71EC" w:rsidRDefault="00DF71EC">
            <w:pPr>
              <w:pStyle w:val="ListParagraph"/>
              <w:spacing w:before="120"/>
              <w:ind w:hanging="360"/>
              <w:rPr>
                <w:b/>
                <w:bCs/>
                <w:u w:val="single"/>
              </w:rPr>
            </w:pPr>
            <w:r>
              <w:rPr>
                <w:b/>
                <w:bCs/>
              </w:rPr>
              <w:t>2)</w:t>
            </w:r>
            <w:r>
              <w:rPr>
                <w:rFonts w:ascii="Times New Roman" w:hAnsi="Times New Roman"/>
                <w:b/>
                <w:bCs/>
                <w:sz w:val="14"/>
                <w:szCs w:val="14"/>
              </w:rPr>
              <w:t xml:space="preserve">     </w:t>
            </w:r>
            <w:r>
              <w:rPr>
                <w:b/>
                <w:bCs/>
                <w:u w:val="single"/>
              </w:rPr>
              <w:t>I want to get the flu vaccine but there is no stock at my GP or pharmacy, can I still enter?</w:t>
            </w:r>
          </w:p>
          <w:p w:rsidR="00DF71EC" w:rsidRDefault="00DF71EC">
            <w:pPr>
              <w:pStyle w:val="ListParagraph"/>
              <w:spacing w:before="120"/>
            </w:pPr>
            <w:r>
              <w:t>Vacenti is fully aware of the current shortages in supply of the influenza vaccine to the general community. If you cannot get a flu vaccination by this Friday, 1</w:t>
            </w:r>
            <w:r>
              <w:rPr>
                <w:vertAlign w:val="superscript"/>
              </w:rPr>
              <w:t>st</w:t>
            </w:r>
            <w:r>
              <w:t xml:space="preserve"> May, we ask you:</w:t>
            </w:r>
          </w:p>
          <w:p w:rsidR="00DF71EC" w:rsidRDefault="00DF71EC">
            <w:pPr>
              <w:pStyle w:val="ListParagraph"/>
              <w:spacing w:before="120"/>
              <w:ind w:left="1080" w:hanging="360"/>
            </w:pPr>
            <w:r>
              <w:t>a)</w:t>
            </w:r>
            <w:r>
              <w:rPr>
                <w:rFonts w:ascii="Times New Roman" w:hAnsi="Times New Roman"/>
                <w:sz w:val="14"/>
                <w:szCs w:val="14"/>
              </w:rPr>
              <w:t xml:space="preserve">      </w:t>
            </w:r>
            <w:r>
              <w:t>strongly consider not visiting until you get one;</w:t>
            </w:r>
          </w:p>
          <w:p w:rsidR="00DF71EC" w:rsidRDefault="00DF71EC">
            <w:pPr>
              <w:pStyle w:val="ListParagraph"/>
              <w:spacing w:before="120"/>
              <w:ind w:left="1080" w:hanging="360"/>
            </w:pPr>
            <w:r>
              <w:t>b)</w:t>
            </w:r>
            <w:r>
              <w:rPr>
                <w:rFonts w:ascii="Times New Roman" w:hAnsi="Times New Roman"/>
                <w:sz w:val="14"/>
                <w:szCs w:val="14"/>
              </w:rPr>
              <w:t xml:space="preserve">     </w:t>
            </w:r>
            <w:r>
              <w:t xml:space="preserve">continue to actively look for other options such as other GPs or pharmacies as much as you are able, or feel comfortable in doing so. </w:t>
            </w:r>
          </w:p>
          <w:p w:rsidR="00DF71EC" w:rsidRDefault="00DF71EC">
            <w:pPr>
              <w:pStyle w:val="ListParagraph"/>
              <w:spacing w:before="120"/>
            </w:pPr>
            <w:r>
              <w:t xml:space="preserve">Vacenti will allow visits to all families and visitors who are actively trying to get a flu vaccination, but cannot get access to one, to provide comfort and support on a week-by-week basis. You will be asked to sign a form stating you cannot get access to the vaccine but are trying to. That approval will be valid for one week only, Monday to Monday. </w:t>
            </w:r>
          </w:p>
          <w:p w:rsidR="00DF71EC" w:rsidRDefault="00DF71EC">
            <w:pPr>
              <w:pStyle w:val="ListParagraph"/>
              <w:spacing w:before="120"/>
            </w:pPr>
            <w:r>
              <w:t>Vacenti will continue to monitor the availability of vaccine stock to the community. Once we are satisfied that 2020 influenza vaccination stock is readily available to the community, the weekly approval process will cease and access will be denied.</w:t>
            </w:r>
          </w:p>
          <w:p w:rsidR="00DF71EC" w:rsidRDefault="00DF71EC">
            <w:pPr>
              <w:pStyle w:val="ListParagraph"/>
              <w:spacing w:before="120"/>
              <w:ind w:hanging="360"/>
            </w:pPr>
            <w:r>
              <w:t>3)</w:t>
            </w:r>
            <w:r>
              <w:rPr>
                <w:rFonts w:ascii="Times New Roman" w:hAnsi="Times New Roman"/>
                <w:sz w:val="14"/>
                <w:szCs w:val="14"/>
              </w:rPr>
              <w:t xml:space="preserve">     </w:t>
            </w:r>
            <w:r>
              <w:rPr>
                <w:b/>
                <w:bCs/>
                <w:u w:val="single"/>
              </w:rPr>
              <w:t>I am able to get vaccinated but choose not to</w:t>
            </w:r>
            <w:r>
              <w:t>.</w:t>
            </w:r>
          </w:p>
          <w:p w:rsidR="00DF71EC" w:rsidRDefault="00DF71EC">
            <w:pPr>
              <w:pStyle w:val="ListParagraph"/>
              <w:spacing w:before="120"/>
            </w:pPr>
            <w:r>
              <w:t xml:space="preserve">Under the current directives there is no provision for persons choosing not to be vaccinated when they are medically capable of receiving one i.e. conscientious objection. Our sign-in process will not allow entry. </w:t>
            </w:r>
          </w:p>
          <w:p w:rsidR="00DF71EC" w:rsidRDefault="00DF71EC">
            <w:pPr>
              <w:ind w:left="360"/>
            </w:pPr>
          </w:p>
          <w:p w:rsidR="00DF71EC" w:rsidRDefault="00DF71EC">
            <w:r>
              <w:t xml:space="preserve">This is Government policy, not Vacenti’s, so please do not ask our Admin staff for dispensation nor vent any views on them. If the Government/s position change, or they provide further clarification, then we will advise that outcome, however we suggest you do not wait. If you cannot, or choose not to register your vaccination status then, by all means, please continue to phone in or make use of our </w:t>
            </w:r>
            <w:proofErr w:type="spellStart"/>
            <w:r>
              <w:t>Telehealth</w:t>
            </w:r>
            <w:proofErr w:type="spellEnd"/>
            <w:r>
              <w:t xml:space="preserve"> services.</w:t>
            </w:r>
          </w:p>
          <w:p w:rsidR="00DF71EC" w:rsidRDefault="00DF71EC"/>
          <w:p w:rsidR="00DF71EC" w:rsidRDefault="00DF71EC">
            <w:pPr>
              <w:rPr>
                <w:b/>
                <w:bCs/>
                <w:u w:val="single"/>
              </w:rPr>
            </w:pPr>
            <w:r>
              <w:rPr>
                <w:b/>
                <w:bCs/>
                <w:u w:val="single"/>
              </w:rPr>
              <w:t>Visiting Restrictions</w:t>
            </w:r>
          </w:p>
          <w:p w:rsidR="00DF71EC" w:rsidRDefault="00DF71EC">
            <w:pPr>
              <w:spacing w:before="120"/>
            </w:pPr>
            <w:r>
              <w:t xml:space="preserve">I am sure everyone was happy to hear the slight easing of some COVID-19 restrictions by the Qld Chief Health Officer yesterday. Please note, these changes </w:t>
            </w:r>
            <w:r>
              <w:rPr>
                <w:u w:val="single"/>
              </w:rPr>
              <w:t>do not apply</w:t>
            </w:r>
            <w:r>
              <w:t xml:space="preserve"> to residential aged care in Queensland. The current visiting restrictions made by the Qld Chief Health Officer mentioned above, remain in place, specifically:</w:t>
            </w:r>
          </w:p>
          <w:p w:rsidR="00DF71EC" w:rsidRDefault="00DF71EC">
            <w:pPr>
              <w:pStyle w:val="ListParagraph"/>
              <w:spacing w:before="120" w:line="254" w:lineRule="auto"/>
              <w:ind w:left="714" w:hanging="357"/>
              <w:rPr>
                <w:b/>
                <w:bCs/>
              </w:rPr>
            </w:pPr>
            <w:r>
              <w:rPr>
                <w:rFonts w:ascii="Wingdings" w:hAnsi="Wingdings"/>
              </w:rPr>
              <w:t></w:t>
            </w:r>
            <w:r>
              <w:rPr>
                <w:rFonts w:ascii="Times New Roman" w:hAnsi="Times New Roman"/>
                <w:sz w:val="14"/>
                <w:szCs w:val="14"/>
              </w:rPr>
              <w:t xml:space="preserve">  </w:t>
            </w:r>
            <w:r>
              <w:rPr>
                <w:b/>
                <w:bCs/>
              </w:rPr>
              <w:t>Vacenti will be restricting visitor access during business hours only for all facilities (Monday – Friday 8:30am to 4:30pm).</w:t>
            </w:r>
          </w:p>
          <w:p w:rsidR="00DF71EC" w:rsidRDefault="00DF71EC">
            <w:pPr>
              <w:pStyle w:val="ListParagraph"/>
              <w:spacing w:before="120" w:line="254" w:lineRule="auto"/>
              <w:ind w:left="714" w:hanging="357"/>
              <w:rPr>
                <w:b/>
                <w:bCs/>
              </w:rPr>
            </w:pPr>
            <w:r>
              <w:rPr>
                <w:rFonts w:ascii="Wingdings" w:hAnsi="Wingdings"/>
              </w:rPr>
              <w:t></w:t>
            </w:r>
            <w:r>
              <w:rPr>
                <w:rFonts w:ascii="Times New Roman" w:hAnsi="Times New Roman"/>
                <w:sz w:val="14"/>
                <w:szCs w:val="14"/>
              </w:rPr>
              <w:t xml:space="preserve">  </w:t>
            </w:r>
            <w:r>
              <w:rPr>
                <w:b/>
                <w:bCs/>
              </w:rPr>
              <w:t>According to Government requirements, a resident may only have 1 care and support visit per day.</w:t>
            </w:r>
          </w:p>
          <w:p w:rsidR="00DF71EC" w:rsidRDefault="00DF71EC">
            <w:pPr>
              <w:pStyle w:val="ListParagraph"/>
              <w:spacing w:before="120" w:line="254" w:lineRule="auto"/>
              <w:ind w:left="714" w:hanging="357"/>
              <w:rPr>
                <w:b/>
                <w:bCs/>
              </w:rPr>
            </w:pPr>
            <w:r>
              <w:rPr>
                <w:rFonts w:ascii="Wingdings" w:hAnsi="Wingdings"/>
              </w:rPr>
              <w:t></w:t>
            </w:r>
            <w:r>
              <w:rPr>
                <w:rFonts w:ascii="Times New Roman" w:hAnsi="Times New Roman"/>
                <w:sz w:val="14"/>
                <w:szCs w:val="14"/>
              </w:rPr>
              <w:t xml:space="preserve">  </w:t>
            </w:r>
            <w:r>
              <w:rPr>
                <w:b/>
                <w:bCs/>
              </w:rPr>
              <w:t>The care and support visit is no longer than 2 hours.</w:t>
            </w:r>
          </w:p>
          <w:p w:rsidR="00DF71EC" w:rsidRDefault="00DF71EC">
            <w:pPr>
              <w:spacing w:before="120" w:line="254" w:lineRule="auto"/>
              <w:contextualSpacing/>
            </w:pPr>
            <w:r>
              <w:t xml:space="preserve">Vacenti has also carefully considered the statements made by the Prime Minister and Chief Medical Officer last Friday regarding the lack of access by families to residents.  As you are aware, quite a number of aged care service providers went into complete lock down and no visitations were </w:t>
            </w:r>
            <w:r>
              <w:lastRenderedPageBreak/>
              <w:t xml:space="preserve">allowed. At that time, and as previously advised, Vacenti tried to balance the clinical risk of a COVID-19 infection in one of our homes against the risks to residents that go with isolation. It was for that reason that our sites remain open for visits all </w:t>
            </w:r>
            <w:proofErr w:type="spellStart"/>
            <w:r>
              <w:t>beit</w:t>
            </w:r>
            <w:proofErr w:type="spellEnd"/>
            <w:r>
              <w:t xml:space="preserve"> on a restricted “business hours” basis.</w:t>
            </w:r>
          </w:p>
          <w:p w:rsidR="00DF71EC" w:rsidRDefault="00DF71EC">
            <w:pPr>
              <w:spacing w:before="120" w:line="254" w:lineRule="auto"/>
              <w:contextualSpacing/>
            </w:pPr>
          </w:p>
          <w:p w:rsidR="00DF71EC" w:rsidRDefault="00DF71EC">
            <w:pPr>
              <w:spacing w:before="120" w:line="254" w:lineRule="auto"/>
              <w:contextualSpacing/>
            </w:pPr>
            <w:r>
              <w:t>We have decided to leave the current visiting restrictions in place for the next couple of weeks and wait to see if there is any “second wave” emanating from the current easing of community restrictions. When you look at the situation in the aged care homes in Sydney, we are sure you agree that our taking a very precautionary approach is warranted.</w:t>
            </w:r>
          </w:p>
          <w:p w:rsidR="00DF71EC" w:rsidRDefault="00DF71EC">
            <w:pPr>
              <w:spacing w:before="240"/>
              <w:rPr>
                <w:b/>
                <w:bCs/>
                <w:u w:val="single"/>
              </w:rPr>
            </w:pPr>
            <w:r>
              <w:rPr>
                <w:b/>
                <w:bCs/>
                <w:u w:val="single"/>
              </w:rPr>
              <w:t>Mother’s Day Sunday 10</w:t>
            </w:r>
            <w:r>
              <w:rPr>
                <w:b/>
                <w:bCs/>
                <w:u w:val="single"/>
                <w:vertAlign w:val="superscript"/>
              </w:rPr>
              <w:t>th</w:t>
            </w:r>
            <w:r>
              <w:rPr>
                <w:b/>
                <w:bCs/>
                <w:u w:val="single"/>
              </w:rPr>
              <w:t xml:space="preserve"> May</w:t>
            </w:r>
          </w:p>
          <w:p w:rsidR="00DF71EC" w:rsidRDefault="00DF71EC">
            <w:pPr>
              <w:spacing w:before="120"/>
            </w:pPr>
            <w:r>
              <w:t>All Vacenti homes will be open for visits on Mother’s Day, Sunday 10</w:t>
            </w:r>
            <w:r>
              <w:rPr>
                <w:vertAlign w:val="superscript"/>
              </w:rPr>
              <w:t>th</w:t>
            </w:r>
            <w:r>
              <w:t xml:space="preserve"> May, from 10:00am to 2:00pm.</w:t>
            </w:r>
          </w:p>
          <w:p w:rsidR="00DF71EC" w:rsidRDefault="00DF71EC">
            <w:pPr>
              <w:spacing w:before="240"/>
              <w:rPr>
                <w:b/>
                <w:bCs/>
                <w:u w:val="single"/>
              </w:rPr>
            </w:pPr>
            <w:r>
              <w:rPr>
                <w:b/>
                <w:bCs/>
                <w:u w:val="single"/>
              </w:rPr>
              <w:t>Taking residents off site</w:t>
            </w:r>
          </w:p>
          <w:p w:rsidR="00DF71EC" w:rsidRDefault="00DF71EC">
            <w:pPr>
              <w:spacing w:before="120"/>
              <w:rPr>
                <w:rFonts w:ascii="Arial" w:hAnsi="Arial" w:cs="Arial"/>
                <w:i/>
                <w:iCs/>
              </w:rPr>
            </w:pPr>
            <w:r>
              <w:t>Under the current Qld Health requirements:</w:t>
            </w:r>
          </w:p>
          <w:p w:rsidR="00DF71EC" w:rsidRDefault="00DF71EC">
            <w:pPr>
              <w:spacing w:before="120"/>
              <w:rPr>
                <w:rFonts w:ascii="Arial" w:hAnsi="Arial" w:cs="Arial"/>
                <w:i/>
                <w:iCs/>
              </w:rPr>
            </w:pPr>
            <w:r>
              <w:rPr>
                <w:rFonts w:ascii="Arial" w:hAnsi="Arial" w:cs="Arial"/>
                <w:i/>
                <w:iCs/>
              </w:rPr>
              <w:t>“The operator of a residential aged care facility in the State of Queensland must not permit a resident, excluding an end of life resident, to leave the facility except to receive or access health care or in the case of emergency.”</w:t>
            </w:r>
          </w:p>
          <w:p w:rsidR="00DF71EC" w:rsidRDefault="00DF71EC">
            <w:pPr>
              <w:spacing w:before="120"/>
            </w:pPr>
            <w:r>
              <w:t xml:space="preserve">The government is taking serious action in trying to limit contact between residents and the outside world. We ask you respect this requirement at least for the next couple of weeks. </w:t>
            </w:r>
          </w:p>
          <w:p w:rsidR="00DF71EC" w:rsidRDefault="00DF71EC">
            <w:pPr>
              <w:spacing w:before="120"/>
            </w:pPr>
            <w:r>
              <w:t xml:space="preserve">We would also like you to consider downloading the Commonwealth’s Government’s COVID Safe App. We believe the risk to privacy is far outweighed by the contact tracing benefits which may lead to an earlier lifting of restrictions on your loved ones. </w:t>
            </w:r>
          </w:p>
          <w:p w:rsidR="00DF71EC" w:rsidRDefault="00DF71EC">
            <w:pPr>
              <w:spacing w:before="120"/>
            </w:pPr>
            <w:r>
              <w:t>Vacenti will continue to update you as usual. Stay safe, remember your social distancing with the easing of restrictions.</w:t>
            </w:r>
          </w:p>
          <w:p w:rsidR="00DF71EC" w:rsidRDefault="00DF71EC">
            <w:pPr>
              <w:spacing w:before="120"/>
            </w:pPr>
            <w:r>
              <w:t>Again, thank you all.</w:t>
            </w:r>
          </w:p>
        </w:tc>
      </w:tr>
      <w:tr w:rsidR="00DF71EC" w:rsidTr="00DF71EC">
        <w:tc>
          <w:tcPr>
            <w:tcW w:w="12325" w:type="dxa"/>
            <w:gridSpan w:val="2"/>
            <w:tcMar>
              <w:top w:w="0" w:type="dxa"/>
              <w:left w:w="108" w:type="dxa"/>
              <w:bottom w:w="0" w:type="dxa"/>
              <w:right w:w="108" w:type="dxa"/>
            </w:tcMar>
            <w:hideMark/>
          </w:tcPr>
          <w:p w:rsidR="00DF71EC" w:rsidRDefault="00DF71EC">
            <w:pPr>
              <w:rPr>
                <w:rFonts w:ascii="Times New Roman" w:eastAsia="Times New Roman" w:hAnsi="Times New Roman"/>
                <w:sz w:val="20"/>
                <w:szCs w:val="20"/>
                <w:lang w:eastAsia="en-AU"/>
              </w:rPr>
            </w:pPr>
          </w:p>
        </w:tc>
      </w:tr>
      <w:tr w:rsidR="00DF71EC" w:rsidTr="00DF71EC">
        <w:tc>
          <w:tcPr>
            <w:tcW w:w="12325" w:type="dxa"/>
            <w:gridSpan w:val="2"/>
            <w:tcMar>
              <w:top w:w="0" w:type="dxa"/>
              <w:left w:w="108" w:type="dxa"/>
              <w:bottom w:w="0" w:type="dxa"/>
              <w:right w:w="108" w:type="dxa"/>
            </w:tcMar>
            <w:hideMark/>
          </w:tcPr>
          <w:p w:rsidR="00DF71EC" w:rsidRDefault="00DF71EC">
            <w:pPr>
              <w:rPr>
                <w:rFonts w:ascii="Times New Roman" w:eastAsia="Times New Roman" w:hAnsi="Times New Roman"/>
                <w:sz w:val="20"/>
                <w:szCs w:val="20"/>
                <w:lang w:eastAsia="en-AU"/>
              </w:rPr>
            </w:pPr>
          </w:p>
        </w:tc>
      </w:tr>
    </w:tbl>
    <w:p w:rsidR="00DF71EC" w:rsidRDefault="00DF71EC" w:rsidP="00DF71EC"/>
    <w:p w:rsidR="00DF71EC" w:rsidRDefault="00DF71EC" w:rsidP="00DF71EC">
      <w:r>
        <w:t>Yours sincerely,</w:t>
      </w:r>
    </w:p>
    <w:p w:rsidR="00DF71EC" w:rsidRDefault="00DF71EC" w:rsidP="00DF71EC"/>
    <w:p w:rsidR="00DF71EC" w:rsidRDefault="00DF71EC" w:rsidP="00DF71EC">
      <w:pPr>
        <w:rPr>
          <w:rFonts w:ascii="Arial" w:hAnsi="Arial" w:cs="Arial"/>
          <w:b/>
          <w:bCs/>
          <w:color w:val="002060"/>
          <w:sz w:val="24"/>
          <w:szCs w:val="24"/>
          <w:lang w:eastAsia="en-AU"/>
        </w:rPr>
      </w:pPr>
      <w:r>
        <w:rPr>
          <w:rFonts w:ascii="Arial" w:hAnsi="Arial" w:cs="Arial"/>
          <w:b/>
          <w:bCs/>
          <w:color w:val="002060"/>
          <w:sz w:val="24"/>
          <w:szCs w:val="24"/>
          <w:lang w:eastAsia="en-AU"/>
        </w:rPr>
        <w:t>Brian Sharp</w:t>
      </w:r>
    </w:p>
    <w:p w:rsidR="00DF71EC" w:rsidRDefault="00DF71EC" w:rsidP="00DF71EC">
      <w:pPr>
        <w:rPr>
          <w:rFonts w:ascii="Arial" w:hAnsi="Arial" w:cs="Arial"/>
          <w:b/>
          <w:bCs/>
          <w:i/>
          <w:iCs/>
          <w:color w:val="E46C0A"/>
          <w:lang w:eastAsia="en-AU"/>
        </w:rPr>
      </w:pPr>
      <w:r>
        <w:rPr>
          <w:rFonts w:ascii="Arial" w:hAnsi="Arial" w:cs="Arial"/>
          <w:b/>
          <w:bCs/>
          <w:i/>
          <w:iCs/>
          <w:color w:val="E46C0A"/>
          <w:lang w:eastAsia="en-AU"/>
        </w:rPr>
        <w:t>Manager – Information &amp; Compliance</w:t>
      </w:r>
    </w:p>
    <w:p w:rsidR="00DF71EC" w:rsidRDefault="00DF71EC" w:rsidP="00DF71EC">
      <w:pPr>
        <w:rPr>
          <w:rFonts w:ascii="Arial" w:hAnsi="Arial" w:cs="Arial"/>
          <w:lang w:eastAsia="en-AU"/>
        </w:rPr>
      </w:pPr>
      <w:r>
        <w:rPr>
          <w:rFonts w:ascii="Arial" w:hAnsi="Arial" w:cs="Arial"/>
          <w:noProof/>
          <w:lang w:eastAsia="en-AU"/>
        </w:rPr>
        <w:drawing>
          <wp:inline distT="0" distB="0" distL="0" distR="0">
            <wp:extent cx="1800225" cy="733425"/>
            <wp:effectExtent l="0" t="0" r="9525" b="9525"/>
            <wp:docPr id="1" name="Picture 1" descr="Vacenti_Linear_Pos_RGB_Email_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enti_Linear_Pos_RGB_Email_Inser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DF71EC" w:rsidRDefault="00DF71EC" w:rsidP="00DF71EC">
      <w:pPr>
        <w:rPr>
          <w:rFonts w:ascii="Arial" w:hAnsi="Arial" w:cs="Arial"/>
          <w:b/>
          <w:bCs/>
          <w:i/>
          <w:iCs/>
          <w:color w:val="002060"/>
          <w:sz w:val="24"/>
          <w:szCs w:val="24"/>
          <w:lang w:eastAsia="en-AU"/>
        </w:rPr>
      </w:pPr>
      <w:r>
        <w:rPr>
          <w:rFonts w:ascii="Arial" w:hAnsi="Arial" w:cs="Arial"/>
          <w:b/>
          <w:bCs/>
          <w:i/>
          <w:iCs/>
          <w:color w:val="002060"/>
          <w:sz w:val="24"/>
          <w:szCs w:val="24"/>
          <w:lang w:eastAsia="en-AU"/>
        </w:rPr>
        <w:t xml:space="preserve">Residential Aged Care &amp; Premium Senior Living </w:t>
      </w:r>
    </w:p>
    <w:p w:rsidR="007D75E8" w:rsidRDefault="007D75E8">
      <w:bookmarkStart w:id="0" w:name="_GoBack"/>
      <w:bookmarkEnd w:id="0"/>
    </w:p>
    <w:sectPr w:rsidR="007D7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EC"/>
    <w:rsid w:val="00036CF3"/>
    <w:rsid w:val="00547E93"/>
    <w:rsid w:val="006E5E7D"/>
    <w:rsid w:val="007D75E8"/>
    <w:rsid w:val="00C56D6E"/>
    <w:rsid w:val="00DF71EC"/>
    <w:rsid w:val="00F223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E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47E93"/>
    <w:pPr>
      <w:keepNext/>
      <w:keepLines/>
      <w:spacing w:before="480" w:line="276" w:lineRule="auto"/>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7E93"/>
    <w:pPr>
      <w:keepNext/>
      <w:keepLines/>
      <w:spacing w:before="200" w:line="276" w:lineRule="auto"/>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547E93"/>
    <w:pPr>
      <w:keepNext/>
      <w:keepLines/>
      <w:spacing w:before="200" w:line="276" w:lineRule="auto"/>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iPriority w:val="9"/>
    <w:semiHidden/>
    <w:unhideWhenUsed/>
    <w:qFormat/>
    <w:rsid w:val="00C56D6E"/>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6D6E"/>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6D6E"/>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6D6E"/>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6D6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6D6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56D6E"/>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6D6E"/>
    <w:rPr>
      <w:rFonts w:asciiTheme="majorHAnsi" w:eastAsiaTheme="majorEastAsia" w:hAnsiTheme="majorHAnsi" w:cstheme="majorBidi"/>
      <w:i/>
      <w:iCs/>
      <w:color w:val="4F81BD" w:themeColor="accent1"/>
      <w:spacing w:val="15"/>
      <w:sz w:val="24"/>
      <w:szCs w:val="24"/>
    </w:rPr>
  </w:style>
  <w:style w:type="paragraph" w:customStyle="1" w:styleId="TitlePageDescription">
    <w:name w:val="Title Page Description"/>
    <w:basedOn w:val="Heading1"/>
    <w:link w:val="TitlePageDescriptionChar"/>
    <w:autoRedefine/>
    <w:rsid w:val="00F22394"/>
    <w:pPr>
      <w:jc w:val="center"/>
    </w:pPr>
  </w:style>
  <w:style w:type="character" w:customStyle="1" w:styleId="TitlePageDescriptionChar">
    <w:name w:val="Title Page Description Char"/>
    <w:basedOn w:val="Heading1Char"/>
    <w:link w:val="TitlePageDescription"/>
    <w:rsid w:val="00F22394"/>
    <w:rPr>
      <w:rFonts w:ascii="Arial" w:eastAsiaTheme="majorEastAsia" w:hAnsi="Arial" w:cstheme="majorBidi"/>
      <w:b/>
      <w:bCs/>
      <w:color w:val="002D5B"/>
      <w:sz w:val="28"/>
      <w:szCs w:val="28"/>
    </w:rPr>
  </w:style>
  <w:style w:type="character" w:customStyle="1" w:styleId="Heading1Char">
    <w:name w:val="Heading 1 Char"/>
    <w:basedOn w:val="DefaultParagraphFont"/>
    <w:link w:val="Heading1"/>
    <w:uiPriority w:val="9"/>
    <w:rsid w:val="00547E93"/>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47E93"/>
    <w:rPr>
      <w:rFonts w:ascii="Arial" w:eastAsiaTheme="majorEastAsia" w:hAnsi="Arial" w:cstheme="majorBidi"/>
      <w:b/>
      <w:bCs/>
      <w:color w:val="4F81BD" w:themeColor="accent1"/>
    </w:rPr>
  </w:style>
  <w:style w:type="paragraph" w:customStyle="1" w:styleId="TitlePage-Title">
    <w:name w:val="Title Page - Title"/>
    <w:basedOn w:val="Normal"/>
    <w:link w:val="TitlePage-TitleChar"/>
    <w:autoRedefine/>
    <w:rsid w:val="00F22394"/>
    <w:pPr>
      <w:jc w:val="center"/>
    </w:pPr>
    <w:rPr>
      <w:rFonts w:cs="Arial"/>
      <w:b/>
      <w:color w:val="002D5B"/>
      <w:sz w:val="72"/>
    </w:rPr>
  </w:style>
  <w:style w:type="character" w:customStyle="1" w:styleId="TitlePage-TitleChar">
    <w:name w:val="Title Page - Title Char"/>
    <w:basedOn w:val="DefaultParagraphFont"/>
    <w:link w:val="TitlePage-Title"/>
    <w:rsid w:val="00F22394"/>
    <w:rPr>
      <w:rFonts w:ascii="Arial" w:hAnsi="Arial" w:cs="Arial"/>
      <w:b/>
      <w:color w:val="002D5B"/>
      <w:sz w:val="72"/>
    </w:rPr>
  </w:style>
  <w:style w:type="paragraph" w:styleId="NoSpacing">
    <w:name w:val="No Spacing"/>
    <w:uiPriority w:val="1"/>
    <w:qFormat/>
    <w:rsid w:val="00F22394"/>
    <w:pPr>
      <w:spacing w:after="0" w:line="240" w:lineRule="auto"/>
    </w:pPr>
    <w:rPr>
      <w:rFonts w:ascii="Arial" w:hAnsi="Arial"/>
    </w:rPr>
  </w:style>
  <w:style w:type="character" w:customStyle="1" w:styleId="Heading2Char">
    <w:name w:val="Heading 2 Char"/>
    <w:basedOn w:val="DefaultParagraphFont"/>
    <w:link w:val="Heading2"/>
    <w:uiPriority w:val="9"/>
    <w:rsid w:val="00547E93"/>
    <w:rPr>
      <w:rFonts w:ascii="Arial" w:eastAsiaTheme="majorEastAsia" w:hAnsi="Arial" w:cstheme="majorBidi"/>
      <w:b/>
      <w:bCs/>
      <w:color w:val="4F81BD" w:themeColor="accent1"/>
      <w:sz w:val="26"/>
      <w:szCs w:val="26"/>
    </w:rPr>
  </w:style>
  <w:style w:type="character" w:customStyle="1" w:styleId="Heading4Char">
    <w:name w:val="Heading 4 Char"/>
    <w:basedOn w:val="DefaultParagraphFont"/>
    <w:link w:val="Heading4"/>
    <w:uiPriority w:val="9"/>
    <w:semiHidden/>
    <w:rsid w:val="00C56D6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C56D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6D6E"/>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C56D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D6E"/>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C56D6E"/>
    <w:rPr>
      <w:b/>
      <w:bCs/>
      <w:i/>
      <w:iCs/>
      <w:color w:val="4F81BD" w:themeColor="accent1"/>
    </w:rPr>
  </w:style>
  <w:style w:type="paragraph" w:styleId="IntenseQuote">
    <w:name w:val="Intense Quote"/>
    <w:basedOn w:val="Normal"/>
    <w:next w:val="Normal"/>
    <w:link w:val="IntenseQuoteChar"/>
    <w:uiPriority w:val="30"/>
    <w:qFormat/>
    <w:rsid w:val="00C56D6E"/>
    <w:pPr>
      <w:pBdr>
        <w:bottom w:val="single" w:sz="4" w:space="4" w:color="4F81BD" w:themeColor="accent1"/>
      </w:pBdr>
      <w:spacing w:before="200" w:after="280" w:line="276" w:lineRule="auto"/>
      <w:ind w:left="936" w:right="936"/>
    </w:pPr>
    <w:rPr>
      <w:rFonts w:ascii="Arial" w:hAnsi="Arial" w:cstheme="minorBidi"/>
      <w:b/>
      <w:bCs/>
      <w:i/>
      <w:iCs/>
      <w:color w:val="4F81BD" w:themeColor="accent1"/>
    </w:rPr>
  </w:style>
  <w:style w:type="character" w:customStyle="1" w:styleId="IntenseQuoteChar">
    <w:name w:val="Intense Quote Char"/>
    <w:basedOn w:val="DefaultParagraphFont"/>
    <w:link w:val="IntenseQuote"/>
    <w:uiPriority w:val="30"/>
    <w:rsid w:val="00C56D6E"/>
    <w:rPr>
      <w:rFonts w:ascii="Arial" w:hAnsi="Arial"/>
      <w:b/>
      <w:bCs/>
      <w:i/>
      <w:iCs/>
      <w:color w:val="4F81BD" w:themeColor="accent1"/>
    </w:rPr>
  </w:style>
  <w:style w:type="character" w:styleId="SubtleReference">
    <w:name w:val="Subtle Reference"/>
    <w:basedOn w:val="DefaultParagraphFont"/>
    <w:uiPriority w:val="31"/>
    <w:qFormat/>
    <w:rsid w:val="00C56D6E"/>
    <w:rPr>
      <w:smallCaps/>
      <w:color w:val="C0504D" w:themeColor="accent2"/>
      <w:u w:val="single"/>
    </w:rPr>
  </w:style>
  <w:style w:type="character" w:customStyle="1" w:styleId="Heading5Char">
    <w:name w:val="Heading 5 Char"/>
    <w:basedOn w:val="DefaultParagraphFont"/>
    <w:link w:val="Heading5"/>
    <w:uiPriority w:val="9"/>
    <w:semiHidden/>
    <w:rsid w:val="00C56D6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C56D6E"/>
    <w:rPr>
      <w:b/>
      <w:bCs/>
    </w:rPr>
  </w:style>
  <w:style w:type="character" w:styleId="Emphasis">
    <w:name w:val="Emphasis"/>
    <w:basedOn w:val="DefaultParagraphFont"/>
    <w:uiPriority w:val="20"/>
    <w:qFormat/>
    <w:rsid w:val="00C56D6E"/>
    <w:rPr>
      <w:i/>
      <w:iCs/>
    </w:rPr>
  </w:style>
  <w:style w:type="paragraph" w:styleId="ListParagraph">
    <w:name w:val="List Paragraph"/>
    <w:basedOn w:val="Normal"/>
    <w:uiPriority w:val="34"/>
    <w:qFormat/>
    <w:rsid w:val="00C56D6E"/>
    <w:pPr>
      <w:spacing w:after="200" w:line="276" w:lineRule="auto"/>
      <w:ind w:left="720"/>
      <w:contextualSpacing/>
    </w:pPr>
    <w:rPr>
      <w:rFonts w:ascii="Arial" w:hAnsi="Arial" w:cstheme="minorBidi"/>
    </w:rPr>
  </w:style>
  <w:style w:type="paragraph" w:styleId="Quote">
    <w:name w:val="Quote"/>
    <w:basedOn w:val="Normal"/>
    <w:next w:val="Normal"/>
    <w:link w:val="QuoteChar"/>
    <w:uiPriority w:val="29"/>
    <w:qFormat/>
    <w:rsid w:val="00C56D6E"/>
    <w:pPr>
      <w:spacing w:after="200" w:line="276" w:lineRule="auto"/>
    </w:pPr>
    <w:rPr>
      <w:rFonts w:ascii="Arial" w:hAnsi="Arial" w:cstheme="minorBidi"/>
      <w:i/>
      <w:iCs/>
      <w:color w:val="000000" w:themeColor="text1"/>
    </w:rPr>
  </w:style>
  <w:style w:type="character" w:customStyle="1" w:styleId="QuoteChar">
    <w:name w:val="Quote Char"/>
    <w:basedOn w:val="DefaultParagraphFont"/>
    <w:link w:val="Quote"/>
    <w:uiPriority w:val="29"/>
    <w:rsid w:val="00C56D6E"/>
    <w:rPr>
      <w:rFonts w:ascii="Arial" w:hAnsi="Arial"/>
      <w:i/>
      <w:iCs/>
      <w:color w:val="000000" w:themeColor="text1"/>
    </w:rPr>
  </w:style>
  <w:style w:type="character" w:styleId="IntenseReference">
    <w:name w:val="Intense Reference"/>
    <w:basedOn w:val="DefaultParagraphFont"/>
    <w:uiPriority w:val="32"/>
    <w:qFormat/>
    <w:rsid w:val="00C56D6E"/>
    <w:rPr>
      <w:b/>
      <w:bCs/>
      <w:smallCaps/>
      <w:color w:val="C0504D" w:themeColor="accent2"/>
      <w:spacing w:val="5"/>
      <w:u w:val="single"/>
    </w:rPr>
  </w:style>
  <w:style w:type="character" w:styleId="BookTitle">
    <w:name w:val="Book Title"/>
    <w:basedOn w:val="DefaultParagraphFont"/>
    <w:uiPriority w:val="33"/>
    <w:qFormat/>
    <w:rsid w:val="00C56D6E"/>
    <w:rPr>
      <w:b/>
      <w:bCs/>
      <w:smallCaps/>
      <w:spacing w:val="5"/>
    </w:rPr>
  </w:style>
  <w:style w:type="character" w:customStyle="1" w:styleId="Heading8Char">
    <w:name w:val="Heading 8 Char"/>
    <w:basedOn w:val="DefaultParagraphFont"/>
    <w:link w:val="Heading8"/>
    <w:uiPriority w:val="9"/>
    <w:semiHidden/>
    <w:rsid w:val="00C56D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6D6E"/>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C56D6E"/>
    <w:rPr>
      <w:i/>
      <w:iCs/>
      <w:color w:val="808080" w:themeColor="text1" w:themeTint="7F"/>
    </w:rPr>
  </w:style>
  <w:style w:type="paragraph" w:customStyle="1" w:styleId="TableContentsList">
    <w:name w:val="Table Contents List"/>
    <w:basedOn w:val="Normal"/>
    <w:link w:val="TableContentsListChar"/>
    <w:qFormat/>
    <w:rsid w:val="00547E93"/>
    <w:pPr>
      <w:framePr w:hSpace="180" w:wrap="around" w:hAnchor="margin" w:y="750"/>
      <w:spacing w:after="120"/>
    </w:pPr>
    <w:rPr>
      <w:rFonts w:ascii="Arial" w:hAnsi="Arial" w:cs="Arial"/>
      <w:sz w:val="24"/>
    </w:rPr>
  </w:style>
  <w:style w:type="character" w:customStyle="1" w:styleId="TableContentsListChar">
    <w:name w:val="Table Contents List Char"/>
    <w:basedOn w:val="DefaultParagraphFont"/>
    <w:link w:val="TableContentsList"/>
    <w:rsid w:val="00547E93"/>
    <w:rPr>
      <w:rFonts w:ascii="Arial" w:hAnsi="Arial" w:cs="Arial"/>
      <w:sz w:val="24"/>
    </w:rPr>
  </w:style>
  <w:style w:type="paragraph" w:customStyle="1" w:styleId="TableContentsList2">
    <w:name w:val="Table Contents List2"/>
    <w:basedOn w:val="Normal"/>
    <w:link w:val="TableContentsList2Char"/>
    <w:qFormat/>
    <w:rsid w:val="00547E93"/>
    <w:pPr>
      <w:spacing w:before="120" w:after="120"/>
    </w:pPr>
    <w:rPr>
      <w:rFonts w:ascii="Arial" w:hAnsi="Arial" w:cs="Arial"/>
      <w:sz w:val="24"/>
    </w:rPr>
  </w:style>
  <w:style w:type="character" w:customStyle="1" w:styleId="TableContentsList2Char">
    <w:name w:val="Table Contents List2 Char"/>
    <w:basedOn w:val="DefaultParagraphFont"/>
    <w:link w:val="TableContentsList2"/>
    <w:rsid w:val="00547E93"/>
    <w:rPr>
      <w:rFonts w:ascii="Arial" w:hAnsi="Arial" w:cs="Arial"/>
      <w:sz w:val="24"/>
    </w:rPr>
  </w:style>
  <w:style w:type="character" w:styleId="Hyperlink">
    <w:name w:val="Hyperlink"/>
    <w:basedOn w:val="DefaultParagraphFont"/>
    <w:uiPriority w:val="99"/>
    <w:semiHidden/>
    <w:unhideWhenUsed/>
    <w:rsid w:val="00DF71EC"/>
    <w:rPr>
      <w:color w:val="0000FF"/>
      <w:u w:val="single"/>
    </w:rPr>
  </w:style>
  <w:style w:type="paragraph" w:styleId="BalloonText">
    <w:name w:val="Balloon Text"/>
    <w:basedOn w:val="Normal"/>
    <w:link w:val="BalloonTextChar"/>
    <w:uiPriority w:val="99"/>
    <w:semiHidden/>
    <w:unhideWhenUsed/>
    <w:rsid w:val="00DF71EC"/>
    <w:rPr>
      <w:rFonts w:ascii="Tahoma" w:hAnsi="Tahoma" w:cs="Tahoma"/>
      <w:sz w:val="16"/>
      <w:szCs w:val="16"/>
    </w:rPr>
  </w:style>
  <w:style w:type="character" w:customStyle="1" w:styleId="BalloonTextChar">
    <w:name w:val="Balloon Text Char"/>
    <w:basedOn w:val="DefaultParagraphFont"/>
    <w:link w:val="BalloonText"/>
    <w:uiPriority w:val="99"/>
    <w:semiHidden/>
    <w:rsid w:val="00DF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E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47E93"/>
    <w:pPr>
      <w:keepNext/>
      <w:keepLines/>
      <w:spacing w:before="480" w:line="276" w:lineRule="auto"/>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7E93"/>
    <w:pPr>
      <w:keepNext/>
      <w:keepLines/>
      <w:spacing w:before="200" w:line="276" w:lineRule="auto"/>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547E93"/>
    <w:pPr>
      <w:keepNext/>
      <w:keepLines/>
      <w:spacing w:before="200" w:line="276" w:lineRule="auto"/>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iPriority w:val="9"/>
    <w:semiHidden/>
    <w:unhideWhenUsed/>
    <w:qFormat/>
    <w:rsid w:val="00C56D6E"/>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6D6E"/>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6D6E"/>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6D6E"/>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6D6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6D6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56D6E"/>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6D6E"/>
    <w:rPr>
      <w:rFonts w:asciiTheme="majorHAnsi" w:eastAsiaTheme="majorEastAsia" w:hAnsiTheme="majorHAnsi" w:cstheme="majorBidi"/>
      <w:i/>
      <w:iCs/>
      <w:color w:val="4F81BD" w:themeColor="accent1"/>
      <w:spacing w:val="15"/>
      <w:sz w:val="24"/>
      <w:szCs w:val="24"/>
    </w:rPr>
  </w:style>
  <w:style w:type="paragraph" w:customStyle="1" w:styleId="TitlePageDescription">
    <w:name w:val="Title Page Description"/>
    <w:basedOn w:val="Heading1"/>
    <w:link w:val="TitlePageDescriptionChar"/>
    <w:autoRedefine/>
    <w:rsid w:val="00F22394"/>
    <w:pPr>
      <w:jc w:val="center"/>
    </w:pPr>
  </w:style>
  <w:style w:type="character" w:customStyle="1" w:styleId="TitlePageDescriptionChar">
    <w:name w:val="Title Page Description Char"/>
    <w:basedOn w:val="Heading1Char"/>
    <w:link w:val="TitlePageDescription"/>
    <w:rsid w:val="00F22394"/>
    <w:rPr>
      <w:rFonts w:ascii="Arial" w:eastAsiaTheme="majorEastAsia" w:hAnsi="Arial" w:cstheme="majorBidi"/>
      <w:b/>
      <w:bCs/>
      <w:color w:val="002D5B"/>
      <w:sz w:val="28"/>
      <w:szCs w:val="28"/>
    </w:rPr>
  </w:style>
  <w:style w:type="character" w:customStyle="1" w:styleId="Heading1Char">
    <w:name w:val="Heading 1 Char"/>
    <w:basedOn w:val="DefaultParagraphFont"/>
    <w:link w:val="Heading1"/>
    <w:uiPriority w:val="9"/>
    <w:rsid w:val="00547E93"/>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47E93"/>
    <w:rPr>
      <w:rFonts w:ascii="Arial" w:eastAsiaTheme="majorEastAsia" w:hAnsi="Arial" w:cstheme="majorBidi"/>
      <w:b/>
      <w:bCs/>
      <w:color w:val="4F81BD" w:themeColor="accent1"/>
    </w:rPr>
  </w:style>
  <w:style w:type="paragraph" w:customStyle="1" w:styleId="TitlePage-Title">
    <w:name w:val="Title Page - Title"/>
    <w:basedOn w:val="Normal"/>
    <w:link w:val="TitlePage-TitleChar"/>
    <w:autoRedefine/>
    <w:rsid w:val="00F22394"/>
    <w:pPr>
      <w:jc w:val="center"/>
    </w:pPr>
    <w:rPr>
      <w:rFonts w:cs="Arial"/>
      <w:b/>
      <w:color w:val="002D5B"/>
      <w:sz w:val="72"/>
    </w:rPr>
  </w:style>
  <w:style w:type="character" w:customStyle="1" w:styleId="TitlePage-TitleChar">
    <w:name w:val="Title Page - Title Char"/>
    <w:basedOn w:val="DefaultParagraphFont"/>
    <w:link w:val="TitlePage-Title"/>
    <w:rsid w:val="00F22394"/>
    <w:rPr>
      <w:rFonts w:ascii="Arial" w:hAnsi="Arial" w:cs="Arial"/>
      <w:b/>
      <w:color w:val="002D5B"/>
      <w:sz w:val="72"/>
    </w:rPr>
  </w:style>
  <w:style w:type="paragraph" w:styleId="NoSpacing">
    <w:name w:val="No Spacing"/>
    <w:uiPriority w:val="1"/>
    <w:qFormat/>
    <w:rsid w:val="00F22394"/>
    <w:pPr>
      <w:spacing w:after="0" w:line="240" w:lineRule="auto"/>
    </w:pPr>
    <w:rPr>
      <w:rFonts w:ascii="Arial" w:hAnsi="Arial"/>
    </w:rPr>
  </w:style>
  <w:style w:type="character" w:customStyle="1" w:styleId="Heading2Char">
    <w:name w:val="Heading 2 Char"/>
    <w:basedOn w:val="DefaultParagraphFont"/>
    <w:link w:val="Heading2"/>
    <w:uiPriority w:val="9"/>
    <w:rsid w:val="00547E93"/>
    <w:rPr>
      <w:rFonts w:ascii="Arial" w:eastAsiaTheme="majorEastAsia" w:hAnsi="Arial" w:cstheme="majorBidi"/>
      <w:b/>
      <w:bCs/>
      <w:color w:val="4F81BD" w:themeColor="accent1"/>
      <w:sz w:val="26"/>
      <w:szCs w:val="26"/>
    </w:rPr>
  </w:style>
  <w:style w:type="character" w:customStyle="1" w:styleId="Heading4Char">
    <w:name w:val="Heading 4 Char"/>
    <w:basedOn w:val="DefaultParagraphFont"/>
    <w:link w:val="Heading4"/>
    <w:uiPriority w:val="9"/>
    <w:semiHidden/>
    <w:rsid w:val="00C56D6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C56D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6D6E"/>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C56D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D6E"/>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C56D6E"/>
    <w:rPr>
      <w:b/>
      <w:bCs/>
      <w:i/>
      <w:iCs/>
      <w:color w:val="4F81BD" w:themeColor="accent1"/>
    </w:rPr>
  </w:style>
  <w:style w:type="paragraph" w:styleId="IntenseQuote">
    <w:name w:val="Intense Quote"/>
    <w:basedOn w:val="Normal"/>
    <w:next w:val="Normal"/>
    <w:link w:val="IntenseQuoteChar"/>
    <w:uiPriority w:val="30"/>
    <w:qFormat/>
    <w:rsid w:val="00C56D6E"/>
    <w:pPr>
      <w:pBdr>
        <w:bottom w:val="single" w:sz="4" w:space="4" w:color="4F81BD" w:themeColor="accent1"/>
      </w:pBdr>
      <w:spacing w:before="200" w:after="280" w:line="276" w:lineRule="auto"/>
      <w:ind w:left="936" w:right="936"/>
    </w:pPr>
    <w:rPr>
      <w:rFonts w:ascii="Arial" w:hAnsi="Arial" w:cstheme="minorBidi"/>
      <w:b/>
      <w:bCs/>
      <w:i/>
      <w:iCs/>
      <w:color w:val="4F81BD" w:themeColor="accent1"/>
    </w:rPr>
  </w:style>
  <w:style w:type="character" w:customStyle="1" w:styleId="IntenseQuoteChar">
    <w:name w:val="Intense Quote Char"/>
    <w:basedOn w:val="DefaultParagraphFont"/>
    <w:link w:val="IntenseQuote"/>
    <w:uiPriority w:val="30"/>
    <w:rsid w:val="00C56D6E"/>
    <w:rPr>
      <w:rFonts w:ascii="Arial" w:hAnsi="Arial"/>
      <w:b/>
      <w:bCs/>
      <w:i/>
      <w:iCs/>
      <w:color w:val="4F81BD" w:themeColor="accent1"/>
    </w:rPr>
  </w:style>
  <w:style w:type="character" w:styleId="SubtleReference">
    <w:name w:val="Subtle Reference"/>
    <w:basedOn w:val="DefaultParagraphFont"/>
    <w:uiPriority w:val="31"/>
    <w:qFormat/>
    <w:rsid w:val="00C56D6E"/>
    <w:rPr>
      <w:smallCaps/>
      <w:color w:val="C0504D" w:themeColor="accent2"/>
      <w:u w:val="single"/>
    </w:rPr>
  </w:style>
  <w:style w:type="character" w:customStyle="1" w:styleId="Heading5Char">
    <w:name w:val="Heading 5 Char"/>
    <w:basedOn w:val="DefaultParagraphFont"/>
    <w:link w:val="Heading5"/>
    <w:uiPriority w:val="9"/>
    <w:semiHidden/>
    <w:rsid w:val="00C56D6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C56D6E"/>
    <w:rPr>
      <w:b/>
      <w:bCs/>
    </w:rPr>
  </w:style>
  <w:style w:type="character" w:styleId="Emphasis">
    <w:name w:val="Emphasis"/>
    <w:basedOn w:val="DefaultParagraphFont"/>
    <w:uiPriority w:val="20"/>
    <w:qFormat/>
    <w:rsid w:val="00C56D6E"/>
    <w:rPr>
      <w:i/>
      <w:iCs/>
    </w:rPr>
  </w:style>
  <w:style w:type="paragraph" w:styleId="ListParagraph">
    <w:name w:val="List Paragraph"/>
    <w:basedOn w:val="Normal"/>
    <w:uiPriority w:val="34"/>
    <w:qFormat/>
    <w:rsid w:val="00C56D6E"/>
    <w:pPr>
      <w:spacing w:after="200" w:line="276" w:lineRule="auto"/>
      <w:ind w:left="720"/>
      <w:contextualSpacing/>
    </w:pPr>
    <w:rPr>
      <w:rFonts w:ascii="Arial" w:hAnsi="Arial" w:cstheme="minorBidi"/>
    </w:rPr>
  </w:style>
  <w:style w:type="paragraph" w:styleId="Quote">
    <w:name w:val="Quote"/>
    <w:basedOn w:val="Normal"/>
    <w:next w:val="Normal"/>
    <w:link w:val="QuoteChar"/>
    <w:uiPriority w:val="29"/>
    <w:qFormat/>
    <w:rsid w:val="00C56D6E"/>
    <w:pPr>
      <w:spacing w:after="200" w:line="276" w:lineRule="auto"/>
    </w:pPr>
    <w:rPr>
      <w:rFonts w:ascii="Arial" w:hAnsi="Arial" w:cstheme="minorBidi"/>
      <w:i/>
      <w:iCs/>
      <w:color w:val="000000" w:themeColor="text1"/>
    </w:rPr>
  </w:style>
  <w:style w:type="character" w:customStyle="1" w:styleId="QuoteChar">
    <w:name w:val="Quote Char"/>
    <w:basedOn w:val="DefaultParagraphFont"/>
    <w:link w:val="Quote"/>
    <w:uiPriority w:val="29"/>
    <w:rsid w:val="00C56D6E"/>
    <w:rPr>
      <w:rFonts w:ascii="Arial" w:hAnsi="Arial"/>
      <w:i/>
      <w:iCs/>
      <w:color w:val="000000" w:themeColor="text1"/>
    </w:rPr>
  </w:style>
  <w:style w:type="character" w:styleId="IntenseReference">
    <w:name w:val="Intense Reference"/>
    <w:basedOn w:val="DefaultParagraphFont"/>
    <w:uiPriority w:val="32"/>
    <w:qFormat/>
    <w:rsid w:val="00C56D6E"/>
    <w:rPr>
      <w:b/>
      <w:bCs/>
      <w:smallCaps/>
      <w:color w:val="C0504D" w:themeColor="accent2"/>
      <w:spacing w:val="5"/>
      <w:u w:val="single"/>
    </w:rPr>
  </w:style>
  <w:style w:type="character" w:styleId="BookTitle">
    <w:name w:val="Book Title"/>
    <w:basedOn w:val="DefaultParagraphFont"/>
    <w:uiPriority w:val="33"/>
    <w:qFormat/>
    <w:rsid w:val="00C56D6E"/>
    <w:rPr>
      <w:b/>
      <w:bCs/>
      <w:smallCaps/>
      <w:spacing w:val="5"/>
    </w:rPr>
  </w:style>
  <w:style w:type="character" w:customStyle="1" w:styleId="Heading8Char">
    <w:name w:val="Heading 8 Char"/>
    <w:basedOn w:val="DefaultParagraphFont"/>
    <w:link w:val="Heading8"/>
    <w:uiPriority w:val="9"/>
    <w:semiHidden/>
    <w:rsid w:val="00C56D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6D6E"/>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C56D6E"/>
    <w:rPr>
      <w:i/>
      <w:iCs/>
      <w:color w:val="808080" w:themeColor="text1" w:themeTint="7F"/>
    </w:rPr>
  </w:style>
  <w:style w:type="paragraph" w:customStyle="1" w:styleId="TableContentsList">
    <w:name w:val="Table Contents List"/>
    <w:basedOn w:val="Normal"/>
    <w:link w:val="TableContentsListChar"/>
    <w:qFormat/>
    <w:rsid w:val="00547E93"/>
    <w:pPr>
      <w:framePr w:hSpace="180" w:wrap="around" w:hAnchor="margin" w:y="750"/>
      <w:spacing w:after="120"/>
    </w:pPr>
    <w:rPr>
      <w:rFonts w:ascii="Arial" w:hAnsi="Arial" w:cs="Arial"/>
      <w:sz w:val="24"/>
    </w:rPr>
  </w:style>
  <w:style w:type="character" w:customStyle="1" w:styleId="TableContentsListChar">
    <w:name w:val="Table Contents List Char"/>
    <w:basedOn w:val="DefaultParagraphFont"/>
    <w:link w:val="TableContentsList"/>
    <w:rsid w:val="00547E93"/>
    <w:rPr>
      <w:rFonts w:ascii="Arial" w:hAnsi="Arial" w:cs="Arial"/>
      <w:sz w:val="24"/>
    </w:rPr>
  </w:style>
  <w:style w:type="paragraph" w:customStyle="1" w:styleId="TableContentsList2">
    <w:name w:val="Table Contents List2"/>
    <w:basedOn w:val="Normal"/>
    <w:link w:val="TableContentsList2Char"/>
    <w:qFormat/>
    <w:rsid w:val="00547E93"/>
    <w:pPr>
      <w:spacing w:before="120" w:after="120"/>
    </w:pPr>
    <w:rPr>
      <w:rFonts w:ascii="Arial" w:hAnsi="Arial" w:cs="Arial"/>
      <w:sz w:val="24"/>
    </w:rPr>
  </w:style>
  <w:style w:type="character" w:customStyle="1" w:styleId="TableContentsList2Char">
    <w:name w:val="Table Contents List2 Char"/>
    <w:basedOn w:val="DefaultParagraphFont"/>
    <w:link w:val="TableContentsList2"/>
    <w:rsid w:val="00547E93"/>
    <w:rPr>
      <w:rFonts w:ascii="Arial" w:hAnsi="Arial" w:cs="Arial"/>
      <w:sz w:val="24"/>
    </w:rPr>
  </w:style>
  <w:style w:type="character" w:styleId="Hyperlink">
    <w:name w:val="Hyperlink"/>
    <w:basedOn w:val="DefaultParagraphFont"/>
    <w:uiPriority w:val="99"/>
    <w:semiHidden/>
    <w:unhideWhenUsed/>
    <w:rsid w:val="00DF71EC"/>
    <w:rPr>
      <w:color w:val="0000FF"/>
      <w:u w:val="single"/>
    </w:rPr>
  </w:style>
  <w:style w:type="paragraph" w:styleId="BalloonText">
    <w:name w:val="Balloon Text"/>
    <w:basedOn w:val="Normal"/>
    <w:link w:val="BalloonTextChar"/>
    <w:uiPriority w:val="99"/>
    <w:semiHidden/>
    <w:unhideWhenUsed/>
    <w:rsid w:val="00DF71EC"/>
    <w:rPr>
      <w:rFonts w:ascii="Tahoma" w:hAnsi="Tahoma" w:cs="Tahoma"/>
      <w:sz w:val="16"/>
      <w:szCs w:val="16"/>
    </w:rPr>
  </w:style>
  <w:style w:type="character" w:customStyle="1" w:styleId="BalloonTextChar">
    <w:name w:val="Balloon Text Char"/>
    <w:basedOn w:val="DefaultParagraphFont"/>
    <w:link w:val="BalloonText"/>
    <w:uiPriority w:val="99"/>
    <w:semiHidden/>
    <w:rsid w:val="00DF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qld.gov.au/system-governance/legislation/cho-public-health-directions-under-expanded-public-health-act-powers/aged-care" TargetMode="External"/><Relationship Id="rId13" Type="http://schemas.openxmlformats.org/officeDocument/2006/relationships/hyperlink" Target="mailto:Admin.ES@vacenti.com.au" TargetMode="External"/><Relationship Id="rId3" Type="http://schemas.openxmlformats.org/officeDocument/2006/relationships/settings" Target="settings.xml"/><Relationship Id="rId7" Type="http://schemas.openxmlformats.org/officeDocument/2006/relationships/hyperlink" Target="https://www.health.gov.au/sites/default/files/documents/2020/04/coronavirus-covid-19-restrictions-on-entry-into-and-visitors-to-aged-care-facilities_6.pdf" TargetMode="External"/><Relationship Id="rId12" Type="http://schemas.openxmlformats.org/officeDocument/2006/relationships/hyperlink" Target="mailto:Admin.LO@vacenti.com.a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jpg@01D61CC4.40CF8D40" TargetMode="External"/><Relationship Id="rId11" Type="http://schemas.openxmlformats.org/officeDocument/2006/relationships/hyperlink" Target="mailto:Admin.MB@vacenti.com.au" TargetMode="External"/><Relationship Id="rId5" Type="http://schemas.openxmlformats.org/officeDocument/2006/relationships/image" Target="media/image1.jpeg"/><Relationship Id="rId15" Type="http://schemas.openxmlformats.org/officeDocument/2006/relationships/image" Target="cid:image002.jpg@01D61CC4.40CF8D40" TargetMode="External"/><Relationship Id="rId10" Type="http://schemas.openxmlformats.org/officeDocument/2006/relationships/hyperlink" Target="mailto:Admin.CD@vacenti.com.au" TargetMode="External"/><Relationship Id="rId4" Type="http://schemas.openxmlformats.org/officeDocument/2006/relationships/webSettings" Target="webSettings.xml"/><Relationship Id="rId9" Type="http://schemas.openxmlformats.org/officeDocument/2006/relationships/hyperlink" Target="mailto:Admin.PH@vacenti.com.a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Queensland Rehabilitation Services</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Hartwig</dc:creator>
  <cp:lastModifiedBy>Tiffany Hartwig</cp:lastModifiedBy>
  <cp:revision>2</cp:revision>
  <dcterms:created xsi:type="dcterms:W3CDTF">2020-05-08T23:12:00Z</dcterms:created>
  <dcterms:modified xsi:type="dcterms:W3CDTF">2020-05-08T23:12:00Z</dcterms:modified>
</cp:coreProperties>
</file>